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715BF">
      <w:pPr>
        <w:rPr>
          <w:rFonts w:hint="eastAsia" w:ascii="黑体" w:hAnsi="黑体" w:eastAsia="黑体"/>
          <w:sz w:val="32"/>
          <w:szCs w:val="32"/>
        </w:rPr>
      </w:pPr>
    </w:p>
    <w:p w14:paraId="534A3041">
      <w:pPr>
        <w:ind w:firstLine="880"/>
        <w:jc w:val="center"/>
        <w:rPr>
          <w:rFonts w:hint="eastAsia" w:ascii="方正小标宋_GBK" w:hAnsi="宋体" w:eastAsia="方正小标宋_GBK"/>
          <w:sz w:val="44"/>
          <w:szCs w:val="44"/>
        </w:rPr>
      </w:pPr>
    </w:p>
    <w:p w14:paraId="602A0EB8">
      <w:pPr>
        <w:ind w:firstLine="880"/>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木垒哈萨克自治县大石头乡中心学校</w:t>
      </w:r>
    </w:p>
    <w:p w14:paraId="48839245">
      <w:pPr>
        <w:ind w:firstLine="880"/>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7A8F2A58">
      <w:pPr>
        <w:ind w:firstLine="880"/>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61586488">
      <w:pPr>
        <w:ind w:firstLine="880"/>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1715AB45">
      <w:pPr>
        <w:ind w:firstLine="723"/>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5584531">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6633B73">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77EC6BAA">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3EB3E23">
      <w:pPr>
        <w:pStyle w:val="6"/>
        <w:tabs>
          <w:tab w:val="right" w:pos="8306"/>
        </w:tabs>
        <w:ind w:firstLine="420"/>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32BB956A">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15FCF09">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39669B5">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2C620BA3">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48653F9C">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6F4623E1">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70DB5144">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28C99883">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8ECA857">
      <w:pPr>
        <w:ind w:firstLine="420"/>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0A02E7C7">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2C826C6D">
      <w:pPr>
        <w:pStyle w:val="3"/>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22864EBE">
      <w:pPr>
        <w:pStyle w:val="3"/>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15878AE5">
      <w:pPr>
        <w:pStyle w:val="3"/>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BE82BB1">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64E0D720">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20A9DED0">
      <w:pPr>
        <w:pStyle w:val="6"/>
        <w:tabs>
          <w:tab w:val="right" w:pos="8306"/>
        </w:tabs>
        <w:ind w:firstLine="420"/>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FD59287">
      <w:pPr>
        <w:pStyle w:val="6"/>
        <w:tabs>
          <w:tab w:val="right" w:pos="8306"/>
        </w:tabs>
        <w:ind w:firstLine="420"/>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F630B07">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05AAD80C">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62F094C">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5846048">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26E826C">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48E4206">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087C363">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435F7353">
      <w:pPr>
        <w:pStyle w:val="7"/>
        <w:tabs>
          <w:tab w:val="right" w:pos="8306"/>
        </w:tabs>
        <w:ind w:left="0" w:leftChars="0" w:firstLine="42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3FD80022">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C89EF0B">
      <w:r>
        <w:rPr>
          <w:rFonts w:hint="eastAsia" w:ascii="仿宋_GB2312" w:hAnsi="仿宋_GB2312" w:eastAsia="仿宋_GB2312" w:cs="仿宋_GB2312"/>
          <w:sz w:val="32"/>
          <w:szCs w:val="32"/>
        </w:rPr>
        <w:fldChar w:fldCharType="end"/>
      </w:r>
    </w:p>
    <w:p w14:paraId="32A458E8">
      <w:pPr>
        <w:rPr>
          <w:rFonts w:ascii="仿宋_GB2312" w:eastAsia="仿宋_GB2312"/>
          <w:sz w:val="32"/>
          <w:szCs w:val="32"/>
        </w:rPr>
      </w:pPr>
      <w:r>
        <w:rPr>
          <w:rFonts w:hint="eastAsia" w:ascii="仿宋_GB2312" w:eastAsia="仿宋_GB2312"/>
          <w:sz w:val="32"/>
          <w:szCs w:val="32"/>
        </w:rPr>
        <w:br w:type="page"/>
      </w:r>
    </w:p>
    <w:p w14:paraId="65F382F0">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49F3160A">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0DA16A35">
      <w:pPr>
        <w:ind w:firstLine="640" w:firstLineChars="200"/>
        <w:rPr>
          <w:rFonts w:ascii="仿宋_GB2312" w:eastAsia="仿宋_GB2312"/>
          <w:sz w:val="32"/>
          <w:szCs w:val="32"/>
        </w:rPr>
      </w:pPr>
      <w:bookmarkStart w:id="4" w:name="_Toc31238"/>
      <w:bookmarkStart w:id="5" w:name="_Toc2151"/>
      <w:r>
        <w:rPr>
          <w:rFonts w:hint="eastAsia" w:ascii="仿宋_GB2312" w:eastAsia="仿宋_GB2312"/>
          <w:sz w:val="32"/>
          <w:szCs w:val="32"/>
        </w:rPr>
        <w:t>1.学前教育</w:t>
      </w:r>
    </w:p>
    <w:p w14:paraId="04742E4D">
      <w:pPr>
        <w:ind w:firstLine="640" w:firstLineChars="200"/>
        <w:rPr>
          <w:rFonts w:ascii="仿宋_GB2312" w:eastAsia="仿宋_GB2312"/>
          <w:sz w:val="32"/>
          <w:szCs w:val="32"/>
        </w:rPr>
      </w:pPr>
      <w:r>
        <w:rPr>
          <w:rFonts w:hint="eastAsia" w:ascii="仿宋_GB2312" w:eastAsia="仿宋_GB2312"/>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w:t>
      </w:r>
      <w:r>
        <w:rPr>
          <w:rFonts w:hint="eastAsia" w:ascii="仿宋_GB2312" w:eastAsia="仿宋_GB2312"/>
          <w:sz w:val="32"/>
          <w:szCs w:val="32"/>
          <w:lang w:eastAsia="zh-CN"/>
        </w:rPr>
        <w:t>主动地</w:t>
      </w:r>
      <w:r>
        <w:rPr>
          <w:rFonts w:hint="eastAsia" w:ascii="仿宋_GB2312" w:eastAsia="仿宋_GB2312"/>
          <w:sz w:val="32"/>
          <w:szCs w:val="32"/>
        </w:rPr>
        <w:t>去思考、去实践，感受其中的乐趣。建构健康、平等、和谐的师幼环境，要求教师爱护、尊重、赏识每一个孩子，平等、宽容地对待每一个孩子，站在孩子的立场，积极鼓励孩子，努力使他们成为自信、活泼、健康、快乐的孩子。</w:t>
      </w:r>
    </w:p>
    <w:p w14:paraId="7820F88A">
      <w:pPr>
        <w:ind w:firstLine="640" w:firstLineChars="200"/>
        <w:rPr>
          <w:rFonts w:ascii="仿宋_GB2312" w:eastAsia="仿宋_GB2312"/>
          <w:sz w:val="32"/>
          <w:szCs w:val="32"/>
        </w:rPr>
      </w:pPr>
      <w:r>
        <w:rPr>
          <w:rFonts w:hint="eastAsia" w:ascii="仿宋_GB2312" w:eastAsia="仿宋_GB2312"/>
          <w:sz w:val="32"/>
          <w:szCs w:val="32"/>
        </w:rPr>
        <w:t>2.小学教育</w:t>
      </w:r>
    </w:p>
    <w:p w14:paraId="23EBCBA8">
      <w:pPr>
        <w:ind w:firstLine="640" w:firstLineChars="200"/>
        <w:rPr>
          <w:rFonts w:ascii="仿宋_GB2312" w:eastAsia="仿宋_GB2312"/>
          <w:sz w:val="32"/>
          <w:szCs w:val="32"/>
        </w:rPr>
      </w:pPr>
      <w:r>
        <w:rPr>
          <w:rFonts w:hint="eastAsia" w:ascii="仿宋_GB2312" w:eastAsia="仿宋_GB2312"/>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27F0B9E2">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5917E260">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木垒哈萨克自治县大石头乡中心学校2023年度，实有人数</w:t>
      </w:r>
      <w:r>
        <w:rPr>
          <w:rFonts w:hint="eastAsia" w:ascii="仿宋_GB2312" w:eastAsia="仿宋_GB2312"/>
          <w:sz w:val="32"/>
          <w:szCs w:val="32"/>
          <w:lang w:val="zh-CN"/>
        </w:rPr>
        <w:t>199</w:t>
      </w:r>
      <w:r>
        <w:rPr>
          <w:rFonts w:hint="eastAsia" w:ascii="仿宋_GB2312" w:eastAsia="仿宋_GB2312"/>
          <w:sz w:val="32"/>
          <w:szCs w:val="32"/>
        </w:rPr>
        <w:t>人，其中：在职人员</w:t>
      </w:r>
      <w:r>
        <w:rPr>
          <w:rFonts w:hint="eastAsia" w:ascii="仿宋_GB2312" w:eastAsia="仿宋_GB2312"/>
          <w:sz w:val="32"/>
          <w:szCs w:val="32"/>
          <w:lang w:val="zh-CN"/>
        </w:rPr>
        <w:t>157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42</w:t>
      </w:r>
      <w:r>
        <w:rPr>
          <w:rFonts w:hint="eastAsia" w:ascii="仿宋_GB2312" w:eastAsia="仿宋_GB2312"/>
          <w:sz w:val="32"/>
          <w:szCs w:val="32"/>
        </w:rPr>
        <w:t>人。</w:t>
      </w:r>
    </w:p>
    <w:p w14:paraId="78EC3549">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单位无下属预算单位，下设4个处室，分别是：教务室、德育室、总务室、财务室</w:t>
      </w:r>
      <w:r>
        <w:rPr>
          <w:rFonts w:hint="eastAsia" w:ascii="仿宋_GB2312" w:hAnsi="宋体" w:eastAsia="仿宋_GB2312" w:cs="宋体"/>
          <w:kern w:val="0"/>
          <w:sz w:val="32"/>
          <w:szCs w:val="32"/>
        </w:rPr>
        <w:t>。</w:t>
      </w:r>
    </w:p>
    <w:p w14:paraId="33923084">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0A5BF7B9">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053B176D">
      <w:pPr>
        <w:ind w:firstLine="640" w:firstLineChars="200"/>
        <w:jc w:val="left"/>
        <w:rPr>
          <w:rFonts w:ascii="仿宋_GB2312" w:eastAsia="仿宋_GB2312"/>
          <w:sz w:val="32"/>
          <w:szCs w:val="32"/>
        </w:rPr>
      </w:pPr>
      <w:r>
        <w:rPr>
          <w:rFonts w:hint="eastAsia" w:ascii="仿宋_GB2312" w:eastAsia="仿宋_GB2312"/>
          <w:sz w:val="32"/>
          <w:szCs w:val="32"/>
        </w:rPr>
        <w:t>2023年度收入总计3,359.73万元，其中：本年收入合计3,359.73万元，使用非财政拨款结余0.00万元，年初结转和结余0.00万元。</w:t>
      </w:r>
    </w:p>
    <w:p w14:paraId="46FE724F">
      <w:pPr>
        <w:ind w:firstLine="640" w:firstLineChars="200"/>
        <w:jc w:val="left"/>
        <w:rPr>
          <w:rFonts w:ascii="仿宋_GB2312" w:eastAsia="仿宋_GB2312"/>
          <w:sz w:val="32"/>
          <w:szCs w:val="32"/>
        </w:rPr>
      </w:pPr>
      <w:r>
        <w:rPr>
          <w:rFonts w:hint="eastAsia" w:ascii="仿宋_GB2312" w:eastAsia="仿宋_GB2312"/>
          <w:sz w:val="32"/>
          <w:szCs w:val="32"/>
        </w:rPr>
        <w:t>2023年度支出总计3,359.73万元，其中：本年支出合计3,352.74万元，结余分配0.00万元，年末结转和结余7.00万元。</w:t>
      </w:r>
    </w:p>
    <w:p w14:paraId="2A742601">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增加262.95万元</w:t>
      </w:r>
      <w:r>
        <w:rPr>
          <w:rFonts w:hint="eastAsia" w:ascii="仿宋_GB2312" w:eastAsia="仿宋_GB2312"/>
          <w:sz w:val="32"/>
          <w:szCs w:val="32"/>
        </w:rPr>
        <w:t>，增长8.49%，主要原因是：单位本年英格堡学校人员分流调入，工资、津贴补贴、奖金</w:t>
      </w:r>
      <w:r>
        <w:rPr>
          <w:rFonts w:hint="eastAsia" w:ascii="仿宋_GB2312" w:eastAsia="仿宋_GB2312"/>
          <w:sz w:val="32"/>
          <w:szCs w:val="32"/>
          <w:lang w:val="en-US" w:eastAsia="zh-CN"/>
        </w:rPr>
        <w:t>等相关人员经费</w:t>
      </w:r>
      <w:r>
        <w:rPr>
          <w:rFonts w:hint="eastAsia" w:ascii="仿宋_GB2312" w:eastAsia="仿宋_GB2312"/>
          <w:sz w:val="32"/>
          <w:szCs w:val="32"/>
        </w:rPr>
        <w:t>增加。</w:t>
      </w:r>
    </w:p>
    <w:p w14:paraId="44E2BE05">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49A08E7F">
      <w:pPr>
        <w:ind w:firstLine="640" w:firstLineChars="200"/>
        <w:jc w:val="left"/>
        <w:rPr>
          <w:rFonts w:ascii="仿宋_GB2312" w:eastAsia="仿宋_GB2312"/>
          <w:sz w:val="32"/>
          <w:szCs w:val="32"/>
        </w:rPr>
      </w:pPr>
      <w:r>
        <w:rPr>
          <w:rFonts w:hint="eastAsia" w:ascii="仿宋_GB2312" w:eastAsia="仿宋_GB2312"/>
          <w:sz w:val="32"/>
          <w:szCs w:val="32"/>
        </w:rPr>
        <w:t>本年收入3,359.73万元，其中：财政拨款收入</w:t>
      </w:r>
      <w:r>
        <w:rPr>
          <w:rFonts w:hint="eastAsia" w:ascii="仿宋_GB2312" w:eastAsia="仿宋_GB2312"/>
          <w:sz w:val="32"/>
          <w:szCs w:val="32"/>
          <w:lang w:val="zh-CN"/>
        </w:rPr>
        <w:t>3,317.26</w:t>
      </w:r>
      <w:r>
        <w:rPr>
          <w:rFonts w:hint="eastAsia" w:ascii="仿宋_GB2312" w:eastAsia="仿宋_GB2312"/>
          <w:sz w:val="32"/>
          <w:szCs w:val="32"/>
        </w:rPr>
        <w:t>万元，占</w:t>
      </w:r>
      <w:r>
        <w:rPr>
          <w:rFonts w:hint="eastAsia" w:ascii="仿宋_GB2312" w:eastAsia="仿宋_GB2312"/>
          <w:sz w:val="32"/>
          <w:szCs w:val="32"/>
          <w:lang w:val="zh-CN"/>
        </w:rPr>
        <w:t>98.74</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42.4</w:t>
      </w:r>
      <w:r>
        <w:rPr>
          <w:rFonts w:hint="eastAsia" w:ascii="仿宋_GB2312" w:eastAsia="仿宋_GB2312"/>
          <w:sz w:val="32"/>
          <w:szCs w:val="32"/>
          <w:lang w:val="en-US" w:eastAsia="zh-CN"/>
        </w:rPr>
        <w:t>8</w:t>
      </w:r>
      <w:r>
        <w:rPr>
          <w:rFonts w:hint="eastAsia" w:ascii="仿宋_GB2312" w:eastAsia="仿宋_GB2312"/>
          <w:sz w:val="32"/>
          <w:szCs w:val="32"/>
        </w:rPr>
        <w:t>万元，占</w:t>
      </w:r>
      <w:r>
        <w:rPr>
          <w:rFonts w:hint="eastAsia" w:ascii="仿宋_GB2312" w:eastAsia="仿宋_GB2312"/>
          <w:sz w:val="32"/>
          <w:szCs w:val="32"/>
          <w:lang w:val="zh-CN"/>
        </w:rPr>
        <w:t>1.26</w:t>
      </w:r>
      <w:r>
        <w:rPr>
          <w:rFonts w:hint="eastAsia" w:ascii="仿宋_GB2312" w:eastAsia="仿宋_GB2312"/>
          <w:sz w:val="32"/>
          <w:szCs w:val="32"/>
        </w:rPr>
        <w:t>%。</w:t>
      </w:r>
    </w:p>
    <w:p w14:paraId="2F877F52">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7C2C36D1">
      <w:pPr>
        <w:ind w:firstLine="640" w:firstLineChars="200"/>
        <w:jc w:val="left"/>
        <w:rPr>
          <w:rFonts w:ascii="仿宋_GB2312" w:eastAsia="仿宋_GB2312"/>
          <w:sz w:val="32"/>
          <w:szCs w:val="32"/>
          <w:lang w:val="zh-CN"/>
        </w:rPr>
      </w:pPr>
      <w:r>
        <w:rPr>
          <w:rFonts w:hint="eastAsia" w:eastAsia="仿宋_GB2312" w:cs="仿宋_GB2312"/>
          <w:sz w:val="32"/>
          <w:szCs w:val="32"/>
          <w:lang w:val="zh-CN"/>
        </w:rPr>
        <w:t>本</w:t>
      </w:r>
      <w:r>
        <w:rPr>
          <w:rFonts w:hint="eastAsia" w:ascii="仿宋_GB2312" w:eastAsia="仿宋_GB2312"/>
          <w:sz w:val="32"/>
          <w:szCs w:val="32"/>
          <w:lang w:val="zh-CN"/>
        </w:rPr>
        <w:t>年支出3,352.74万元，其中：基本支出3,128.55万元，占93.31%；项目支出224.19万元，占6.69%；上缴上级支出0.00万元，占0.00%；经营支出0.00万元，占0.00%；对附属单位补助支出0.00万元，占0.00%。</w:t>
      </w:r>
    </w:p>
    <w:p w14:paraId="473FDB73">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77D2976D">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3,317.26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3,317.26</w:t>
      </w:r>
      <w:r>
        <w:rPr>
          <w:rFonts w:hint="eastAsia" w:ascii="仿宋_GB2312" w:eastAsia="仿宋_GB2312"/>
          <w:sz w:val="32"/>
          <w:szCs w:val="32"/>
        </w:rPr>
        <w:t>万元。财政拨款支出总计</w:t>
      </w:r>
      <w:r>
        <w:rPr>
          <w:rFonts w:hint="eastAsia" w:ascii="仿宋_GB2312" w:eastAsia="仿宋_GB2312"/>
          <w:sz w:val="32"/>
          <w:szCs w:val="32"/>
          <w:lang w:val="zh-CN"/>
        </w:rPr>
        <w:t>3,317.26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3,317.26</w:t>
      </w:r>
      <w:r>
        <w:rPr>
          <w:rFonts w:hint="eastAsia" w:ascii="仿宋_GB2312" w:eastAsia="仿宋_GB2312"/>
          <w:sz w:val="32"/>
          <w:szCs w:val="32"/>
        </w:rPr>
        <w:t>万元。</w:t>
      </w:r>
    </w:p>
    <w:p w14:paraId="650829D4">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增加220.48万元</w:t>
      </w:r>
      <w:r>
        <w:rPr>
          <w:rFonts w:hint="eastAsia" w:ascii="仿宋_GB2312" w:eastAsia="仿宋_GB2312"/>
          <w:sz w:val="32"/>
          <w:szCs w:val="32"/>
        </w:rPr>
        <w:t>，增长7.12%,主要原因是：单位本年英格堡学校人员分流调入，工资、津贴补贴、奖金</w:t>
      </w:r>
      <w:r>
        <w:rPr>
          <w:rFonts w:hint="eastAsia" w:ascii="仿宋_GB2312" w:eastAsia="仿宋_GB2312"/>
          <w:sz w:val="32"/>
          <w:szCs w:val="32"/>
          <w:lang w:val="en-US" w:eastAsia="zh-CN"/>
        </w:rPr>
        <w:t>等相关人员经费</w:t>
      </w:r>
      <w:r>
        <w:rPr>
          <w:rFonts w:hint="eastAsia" w:ascii="仿宋_GB2312" w:eastAsia="仿宋_GB2312"/>
          <w:sz w:val="32"/>
          <w:szCs w:val="32"/>
        </w:rPr>
        <w:t>增加。与年初预算相比，年初预算数</w:t>
      </w:r>
      <w:r>
        <w:rPr>
          <w:rFonts w:hint="eastAsia" w:ascii="仿宋_GB2312" w:eastAsia="仿宋_GB2312"/>
          <w:sz w:val="32"/>
          <w:szCs w:val="32"/>
          <w:lang w:val="zh-CN"/>
        </w:rPr>
        <w:t>3,119.27</w:t>
      </w:r>
      <w:r>
        <w:rPr>
          <w:rFonts w:hint="eastAsia" w:ascii="仿宋_GB2312" w:eastAsia="仿宋_GB2312"/>
          <w:sz w:val="32"/>
          <w:szCs w:val="32"/>
        </w:rPr>
        <w:t>万元，决算数</w:t>
      </w:r>
      <w:r>
        <w:rPr>
          <w:rFonts w:hint="eastAsia" w:ascii="仿宋_GB2312" w:eastAsia="仿宋_GB2312"/>
          <w:sz w:val="32"/>
          <w:szCs w:val="32"/>
          <w:lang w:val="zh-CN"/>
        </w:rPr>
        <w:t>3,317.26</w:t>
      </w:r>
      <w:r>
        <w:rPr>
          <w:rFonts w:hint="eastAsia" w:ascii="仿宋_GB2312" w:eastAsia="仿宋_GB2312"/>
          <w:sz w:val="32"/>
          <w:szCs w:val="32"/>
        </w:rPr>
        <w:t>万元，预决算差异率6.35%，主要原因是：单位本年英格堡学校人员分流调入</w:t>
      </w:r>
      <w:r>
        <w:rPr>
          <w:rFonts w:hint="eastAsia" w:ascii="仿宋_GB2312" w:eastAsia="仿宋_GB2312"/>
          <w:sz w:val="32"/>
          <w:szCs w:val="32"/>
          <w:lang w:eastAsia="zh-CN"/>
        </w:rPr>
        <w:t>，</w:t>
      </w:r>
      <w:r>
        <w:rPr>
          <w:rFonts w:hint="eastAsia" w:ascii="仿宋_GB2312" w:eastAsia="仿宋_GB2312"/>
          <w:sz w:val="32"/>
          <w:szCs w:val="32"/>
          <w:lang w:val="en-US" w:eastAsia="zh-CN"/>
        </w:rPr>
        <w:t>年中追加</w:t>
      </w:r>
      <w:r>
        <w:rPr>
          <w:rFonts w:hint="eastAsia" w:ascii="仿宋_GB2312" w:eastAsia="仿宋_GB2312"/>
          <w:sz w:val="32"/>
          <w:szCs w:val="32"/>
        </w:rPr>
        <w:t>工资、津贴补贴、奖金</w:t>
      </w:r>
      <w:r>
        <w:rPr>
          <w:rFonts w:hint="eastAsia" w:ascii="仿宋_GB2312" w:eastAsia="仿宋_GB2312"/>
          <w:sz w:val="32"/>
          <w:szCs w:val="32"/>
          <w:lang w:val="en-US" w:eastAsia="zh-CN"/>
        </w:rPr>
        <w:t>等相关人员经费</w:t>
      </w:r>
      <w:r>
        <w:rPr>
          <w:rFonts w:hint="eastAsia" w:ascii="仿宋_GB2312" w:eastAsia="仿宋_GB2312"/>
          <w:sz w:val="32"/>
          <w:szCs w:val="32"/>
        </w:rPr>
        <w:t>。</w:t>
      </w:r>
    </w:p>
    <w:p w14:paraId="0539A653">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0FAE7EBE">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34410887">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2023年度一般公共预算财政拨款支出3,317.26万元，占本年支出合计的</w:t>
      </w:r>
      <w:r>
        <w:rPr>
          <w:rFonts w:hint="eastAsia" w:ascii="仿宋_GB2312" w:eastAsia="仿宋_GB2312"/>
          <w:sz w:val="32"/>
          <w:szCs w:val="32"/>
          <w:lang w:val="zh-CN"/>
        </w:rPr>
        <w:t>98.94%</w:t>
      </w:r>
      <w:r>
        <w:rPr>
          <w:rFonts w:hint="eastAsia" w:ascii="仿宋_GB2312" w:eastAsia="仿宋_GB2312"/>
          <w:sz w:val="32"/>
          <w:szCs w:val="32"/>
        </w:rPr>
        <w:t>。与上年相比，</w:t>
      </w:r>
      <w:r>
        <w:rPr>
          <w:rFonts w:hint="eastAsia" w:ascii="仿宋_GB2312" w:eastAsia="仿宋_GB2312"/>
          <w:sz w:val="32"/>
          <w:szCs w:val="32"/>
          <w:lang w:val="zh-CN"/>
        </w:rPr>
        <w:t>增加220.48万元</w:t>
      </w:r>
      <w:r>
        <w:rPr>
          <w:rFonts w:hint="eastAsia" w:ascii="仿宋_GB2312" w:eastAsia="仿宋_GB2312"/>
          <w:sz w:val="32"/>
          <w:szCs w:val="32"/>
        </w:rPr>
        <w:t>，增长7.12%,主要原因是：单位本年英格堡学校人员分流调入，工资、津贴补贴、奖金</w:t>
      </w:r>
      <w:r>
        <w:rPr>
          <w:rFonts w:hint="eastAsia" w:ascii="仿宋_GB2312" w:eastAsia="仿宋_GB2312"/>
          <w:sz w:val="32"/>
          <w:szCs w:val="32"/>
          <w:lang w:val="en-US" w:eastAsia="zh-CN"/>
        </w:rPr>
        <w:t>等相关人员经费</w:t>
      </w:r>
      <w:r>
        <w:rPr>
          <w:rFonts w:hint="eastAsia" w:ascii="仿宋_GB2312" w:eastAsia="仿宋_GB2312"/>
          <w:sz w:val="32"/>
          <w:szCs w:val="32"/>
        </w:rPr>
        <w:t>增加。与年初预算相比，年初预算数</w:t>
      </w:r>
      <w:r>
        <w:rPr>
          <w:rFonts w:hint="eastAsia" w:ascii="仿宋_GB2312" w:eastAsia="仿宋_GB2312"/>
          <w:sz w:val="32"/>
          <w:szCs w:val="32"/>
          <w:lang w:val="zh-CN"/>
        </w:rPr>
        <w:t>3,119.27</w:t>
      </w:r>
      <w:r>
        <w:rPr>
          <w:rFonts w:hint="eastAsia" w:ascii="仿宋_GB2312" w:eastAsia="仿宋_GB2312"/>
          <w:sz w:val="32"/>
          <w:szCs w:val="32"/>
        </w:rPr>
        <w:t>万元，决算数</w:t>
      </w:r>
      <w:r>
        <w:rPr>
          <w:rFonts w:hint="eastAsia" w:ascii="仿宋_GB2312" w:eastAsia="仿宋_GB2312"/>
          <w:sz w:val="32"/>
          <w:szCs w:val="32"/>
          <w:lang w:val="zh-CN"/>
        </w:rPr>
        <w:t>3,317.26</w:t>
      </w:r>
      <w:r>
        <w:rPr>
          <w:rFonts w:hint="eastAsia" w:ascii="仿宋_GB2312" w:eastAsia="仿宋_GB2312"/>
          <w:sz w:val="32"/>
          <w:szCs w:val="32"/>
        </w:rPr>
        <w:t>万元，预决算差异率</w:t>
      </w:r>
      <w:r>
        <w:rPr>
          <w:rFonts w:hint="eastAsia" w:ascii="仿宋_GB2312" w:eastAsia="仿宋_GB2312"/>
          <w:sz w:val="32"/>
          <w:szCs w:val="32"/>
          <w:lang w:val="zh-CN"/>
        </w:rPr>
        <w:t>6.35%</w:t>
      </w:r>
      <w:r>
        <w:rPr>
          <w:rFonts w:hint="eastAsia" w:ascii="仿宋_GB2312" w:eastAsia="仿宋_GB2312"/>
          <w:sz w:val="32"/>
          <w:szCs w:val="32"/>
        </w:rPr>
        <w:t>，主要原因是：单位本年英格堡学校人员分流调入</w:t>
      </w:r>
      <w:r>
        <w:rPr>
          <w:rFonts w:hint="eastAsia" w:ascii="仿宋_GB2312" w:eastAsia="仿宋_GB2312"/>
          <w:sz w:val="32"/>
          <w:szCs w:val="32"/>
          <w:lang w:eastAsia="zh-CN"/>
        </w:rPr>
        <w:t>，</w:t>
      </w:r>
      <w:r>
        <w:rPr>
          <w:rFonts w:hint="eastAsia" w:ascii="仿宋_GB2312" w:eastAsia="仿宋_GB2312"/>
          <w:sz w:val="32"/>
          <w:szCs w:val="32"/>
          <w:lang w:val="en-US" w:eastAsia="zh-CN"/>
        </w:rPr>
        <w:t>年中追加</w:t>
      </w:r>
      <w:r>
        <w:rPr>
          <w:rFonts w:hint="eastAsia" w:ascii="仿宋_GB2312" w:eastAsia="仿宋_GB2312"/>
          <w:sz w:val="32"/>
          <w:szCs w:val="32"/>
        </w:rPr>
        <w:t>工资、津贴补贴、奖金</w:t>
      </w:r>
      <w:r>
        <w:rPr>
          <w:rFonts w:hint="eastAsia" w:ascii="仿宋_GB2312" w:eastAsia="仿宋_GB2312"/>
          <w:sz w:val="32"/>
          <w:szCs w:val="32"/>
          <w:lang w:val="en-US" w:eastAsia="zh-CN"/>
        </w:rPr>
        <w:t>等相关人员经费</w:t>
      </w:r>
      <w:r>
        <w:rPr>
          <w:rFonts w:hint="eastAsia" w:ascii="仿宋_GB2312" w:eastAsia="仿宋_GB2312"/>
          <w:sz w:val="32"/>
          <w:szCs w:val="32"/>
        </w:rPr>
        <w:t>。</w:t>
      </w:r>
    </w:p>
    <w:p w14:paraId="3DF10427">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2390F3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3,157.60</w:t>
      </w:r>
      <w:r>
        <w:rPr>
          <w:rFonts w:ascii="仿宋_GB2312" w:eastAsia="仿宋_GB2312"/>
          <w:kern w:val="2"/>
          <w:sz w:val="32"/>
          <w:szCs w:val="32"/>
          <w:lang w:val="zh-CN"/>
        </w:rPr>
        <w:t>万元，占</w:t>
      </w:r>
      <w:r>
        <w:rPr>
          <w:rFonts w:hint="eastAsia" w:ascii="仿宋_GB2312" w:eastAsia="仿宋_GB2312"/>
          <w:kern w:val="2"/>
          <w:sz w:val="32"/>
          <w:szCs w:val="32"/>
          <w:lang w:val="zh-CN"/>
        </w:rPr>
        <w:t>95.19</w:t>
      </w:r>
      <w:r>
        <w:rPr>
          <w:rFonts w:ascii="仿宋_GB2312" w:eastAsia="仿宋_GB2312"/>
          <w:kern w:val="2"/>
          <w:sz w:val="32"/>
          <w:szCs w:val="32"/>
          <w:lang w:val="zh-CN"/>
        </w:rPr>
        <w:t>%；</w:t>
      </w:r>
    </w:p>
    <w:p w14:paraId="420A13B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159.65</w:t>
      </w:r>
      <w:r>
        <w:rPr>
          <w:rFonts w:ascii="仿宋_GB2312" w:eastAsia="仿宋_GB2312"/>
          <w:kern w:val="2"/>
          <w:sz w:val="32"/>
          <w:szCs w:val="32"/>
          <w:lang w:val="zh-CN"/>
        </w:rPr>
        <w:t>万元，占</w:t>
      </w:r>
      <w:r>
        <w:rPr>
          <w:rFonts w:hint="eastAsia" w:ascii="仿宋_GB2312" w:eastAsia="仿宋_GB2312"/>
          <w:kern w:val="2"/>
          <w:sz w:val="32"/>
          <w:szCs w:val="32"/>
          <w:lang w:val="zh-CN"/>
        </w:rPr>
        <w:t>4.81</w:t>
      </w:r>
      <w:r>
        <w:rPr>
          <w:rFonts w:ascii="仿宋_GB2312" w:eastAsia="仿宋_GB2312"/>
          <w:kern w:val="2"/>
          <w:sz w:val="32"/>
          <w:szCs w:val="32"/>
          <w:lang w:val="zh-CN"/>
        </w:rPr>
        <w:t>%</w:t>
      </w:r>
      <w:r>
        <w:rPr>
          <w:rFonts w:hint="eastAsia" w:ascii="仿宋_GB2312" w:eastAsia="仿宋_GB2312"/>
          <w:kern w:val="2"/>
          <w:sz w:val="32"/>
          <w:szCs w:val="32"/>
        </w:rPr>
        <w:t>。</w:t>
      </w:r>
    </w:p>
    <w:p w14:paraId="17A31FAF">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68034BFF">
      <w:pPr>
        <w:ind w:firstLine="640" w:firstLineChars="200"/>
        <w:rPr>
          <w:rFonts w:ascii="仿宋_GB2312" w:eastAsia="仿宋_GB2312"/>
          <w:sz w:val="32"/>
          <w:szCs w:val="32"/>
          <w:lang w:val="zh-CN"/>
        </w:rPr>
      </w:pPr>
      <w:r>
        <w:rPr>
          <w:rFonts w:hint="eastAsia" w:ascii="仿宋_GB2312" w:eastAsia="仿宋_GB2312"/>
          <w:sz w:val="32"/>
          <w:szCs w:val="32"/>
        </w:rPr>
        <w:t>1.教育支出（类）教育费附加安排的支出（款）其他教育费附加安排的支出（项）:支出决算数为10.35万元，比上年决算增加10.35万元，增长100%，主要原因是：单位本</w:t>
      </w:r>
      <w:r>
        <w:rPr>
          <w:rFonts w:hint="eastAsia" w:ascii="仿宋_GB2312" w:eastAsia="仿宋_GB2312"/>
          <w:sz w:val="32"/>
          <w:szCs w:val="32"/>
          <w:lang w:val="zh-CN"/>
        </w:rPr>
        <w:t>年</w:t>
      </w:r>
      <w:r>
        <w:rPr>
          <w:rFonts w:hint="eastAsia" w:ascii="仿宋_GB2312" w:eastAsia="仿宋_GB2312"/>
          <w:sz w:val="32"/>
          <w:szCs w:val="32"/>
        </w:rPr>
        <w:t>新增</w:t>
      </w:r>
      <w:r>
        <w:rPr>
          <w:rFonts w:hint="eastAsia" w:ascii="仿宋_GB2312" w:eastAsia="仿宋_GB2312"/>
          <w:sz w:val="32"/>
          <w:szCs w:val="32"/>
          <w:lang w:val="zh-CN"/>
        </w:rPr>
        <w:t>课后服务项目经费。</w:t>
      </w:r>
    </w:p>
    <w:p w14:paraId="61876427">
      <w:pPr>
        <w:ind w:firstLine="640" w:firstLineChars="200"/>
        <w:rPr>
          <w:rFonts w:ascii="仿宋_GB2312" w:eastAsia="仿宋_GB2312"/>
          <w:sz w:val="32"/>
          <w:szCs w:val="32"/>
          <w:lang w:val="zh-CN"/>
        </w:rPr>
      </w:pPr>
      <w:r>
        <w:rPr>
          <w:rFonts w:hint="eastAsia" w:ascii="仿宋_GB2312" w:eastAsia="仿宋_GB2312"/>
          <w:sz w:val="32"/>
          <w:szCs w:val="32"/>
        </w:rPr>
        <w:t>2.社会保障和就业支出（类）抚恤（款）死亡抚恤（项）:支出决算数为77.49万元，比上年决算增加66.55万元，增长608.</w:t>
      </w:r>
      <w:r>
        <w:rPr>
          <w:rFonts w:hint="eastAsia" w:ascii="仿宋_GB2312" w:eastAsia="仿宋_GB2312"/>
          <w:sz w:val="32"/>
          <w:szCs w:val="32"/>
          <w:lang w:val="en-US" w:eastAsia="zh-CN"/>
        </w:rPr>
        <w:t>32</w:t>
      </w:r>
      <w:r>
        <w:rPr>
          <w:rFonts w:hint="eastAsia" w:ascii="仿宋_GB2312" w:eastAsia="仿宋_GB2312"/>
          <w:sz w:val="32"/>
          <w:szCs w:val="32"/>
        </w:rPr>
        <w:t>%，主要原因是：单位本年人员丧葬费、抚恤金补助较上年增加</w:t>
      </w:r>
      <w:r>
        <w:rPr>
          <w:rFonts w:hint="eastAsia" w:ascii="仿宋_GB2312" w:eastAsia="仿宋_GB2312"/>
          <w:sz w:val="32"/>
          <w:szCs w:val="32"/>
          <w:lang w:val="zh-CN"/>
        </w:rPr>
        <w:t>。</w:t>
      </w:r>
    </w:p>
    <w:p w14:paraId="221A294D">
      <w:pPr>
        <w:ind w:firstLine="640" w:firstLineChars="200"/>
        <w:rPr>
          <w:rFonts w:ascii="仿宋_GB2312" w:eastAsia="仿宋_GB2312"/>
          <w:sz w:val="32"/>
          <w:szCs w:val="32"/>
          <w:lang w:val="zh-CN"/>
        </w:rPr>
      </w:pPr>
      <w:r>
        <w:rPr>
          <w:rFonts w:hint="eastAsia" w:ascii="仿宋_GB2312" w:eastAsia="仿宋_GB2312"/>
          <w:sz w:val="32"/>
          <w:szCs w:val="32"/>
        </w:rPr>
        <w:t>3.教育支出（类）普通教育（款）小学教育（项）:支出决算数为2,655.21万元，比上年决算减少61.22万元，下降2.25%，主要原因是：单位本年</w:t>
      </w:r>
      <w:r>
        <w:rPr>
          <w:rFonts w:hint="eastAsia" w:ascii="仿宋_GB2312" w:eastAsia="仿宋_GB2312"/>
          <w:sz w:val="32"/>
          <w:szCs w:val="32"/>
          <w:lang w:val="zh-CN"/>
        </w:rPr>
        <w:t>城乡义务教育补助</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r>
        <w:rPr>
          <w:rFonts w:hint="eastAsia" w:ascii="仿宋_GB2312" w:eastAsia="仿宋_GB2312"/>
          <w:sz w:val="32"/>
          <w:szCs w:val="32"/>
        </w:rPr>
        <w:t>减少</w:t>
      </w:r>
      <w:r>
        <w:rPr>
          <w:rFonts w:hint="eastAsia" w:ascii="仿宋_GB2312" w:eastAsia="仿宋_GB2312"/>
          <w:sz w:val="32"/>
          <w:szCs w:val="32"/>
          <w:lang w:val="zh-CN"/>
        </w:rPr>
        <w:t>。</w:t>
      </w:r>
    </w:p>
    <w:p w14:paraId="60AF2F7C">
      <w:pPr>
        <w:ind w:firstLine="640" w:firstLineChars="200"/>
        <w:rPr>
          <w:rFonts w:ascii="仿宋_GB2312" w:eastAsia="仿宋_GB2312"/>
          <w:sz w:val="32"/>
          <w:szCs w:val="32"/>
          <w:lang w:val="zh-CN"/>
        </w:rPr>
      </w:pPr>
      <w:r>
        <w:rPr>
          <w:rFonts w:hint="eastAsia" w:ascii="仿宋_GB2312" w:eastAsia="仿宋_GB2312"/>
          <w:sz w:val="32"/>
          <w:szCs w:val="32"/>
        </w:rPr>
        <w:t>4.社会保障和就业支出（类）行政事业单位养老支出（款）事业单位离退休（项）:支出决算数为12.36万元，比上年决算增加7.86万元，增长174.</w:t>
      </w:r>
      <w:r>
        <w:rPr>
          <w:rFonts w:hint="eastAsia" w:ascii="仿宋_GB2312" w:eastAsia="仿宋_GB2312"/>
          <w:sz w:val="32"/>
          <w:szCs w:val="32"/>
          <w:lang w:val="en-US" w:eastAsia="zh-CN"/>
        </w:rPr>
        <w:t>67</w:t>
      </w:r>
      <w:r>
        <w:rPr>
          <w:rFonts w:hint="eastAsia" w:ascii="仿宋_GB2312" w:eastAsia="仿宋_GB2312"/>
          <w:sz w:val="32"/>
          <w:szCs w:val="32"/>
        </w:rPr>
        <w:t>%，主要原因是：本年退休人员增加，退休人员取暖费、交通补助费用增加</w:t>
      </w:r>
      <w:r>
        <w:rPr>
          <w:rFonts w:hint="eastAsia" w:ascii="仿宋_GB2312" w:eastAsia="仿宋_GB2312"/>
          <w:sz w:val="32"/>
          <w:szCs w:val="32"/>
          <w:lang w:val="zh-CN"/>
        </w:rPr>
        <w:t>。</w:t>
      </w:r>
    </w:p>
    <w:p w14:paraId="3BBD90F2">
      <w:pPr>
        <w:ind w:firstLine="640" w:firstLineChars="200"/>
        <w:rPr>
          <w:rFonts w:ascii="仿宋_GB2312" w:eastAsia="仿宋_GB2312"/>
          <w:sz w:val="32"/>
          <w:szCs w:val="32"/>
        </w:rPr>
      </w:pPr>
      <w:r>
        <w:rPr>
          <w:rFonts w:hint="eastAsia" w:ascii="仿宋_GB2312" w:eastAsia="仿宋_GB2312"/>
          <w:sz w:val="32"/>
          <w:szCs w:val="32"/>
        </w:rPr>
        <w:t>5.教育支出（类）普通教育（款）学前教育（项）:支出决算数为492.04万元，比上年决算增加161.42万元，增长48.82%，主要原因是：单位本年</w:t>
      </w:r>
      <w:r>
        <w:rPr>
          <w:rFonts w:hint="eastAsia" w:ascii="仿宋_GB2312" w:eastAsia="仿宋_GB2312"/>
          <w:sz w:val="32"/>
          <w:szCs w:val="32"/>
          <w:lang w:val="zh-CN"/>
        </w:rPr>
        <w:t>学前三年免费教育保障机制</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r>
        <w:rPr>
          <w:rFonts w:hint="eastAsia" w:ascii="仿宋_GB2312" w:eastAsia="仿宋_GB2312"/>
          <w:sz w:val="32"/>
          <w:szCs w:val="32"/>
        </w:rPr>
        <w:t>增加。</w:t>
      </w:r>
    </w:p>
    <w:p w14:paraId="726E7924">
      <w:pPr>
        <w:ind w:firstLine="640" w:firstLineChars="200"/>
        <w:rPr>
          <w:rFonts w:ascii="仿宋_GB2312" w:eastAsia="仿宋_GB2312"/>
          <w:sz w:val="32"/>
          <w:szCs w:val="32"/>
          <w:lang w:val="zh-CN"/>
        </w:rPr>
      </w:pPr>
      <w:r>
        <w:rPr>
          <w:rFonts w:hint="eastAsia" w:ascii="仿宋_GB2312" w:eastAsia="仿宋_GB2312"/>
          <w:sz w:val="32"/>
          <w:szCs w:val="32"/>
        </w:rPr>
        <w:t>6.社会保障和就业支出（类）行政事业单位养老支出（款）机关事业单位职业年金缴费支出（项）:支出决算数为69.80万元，比上年决算增加50.51万元，增长261.8</w:t>
      </w:r>
      <w:r>
        <w:rPr>
          <w:rFonts w:hint="eastAsia" w:ascii="仿宋_GB2312" w:eastAsia="仿宋_GB2312"/>
          <w:sz w:val="32"/>
          <w:szCs w:val="32"/>
          <w:lang w:val="en-US" w:eastAsia="zh-CN"/>
        </w:rPr>
        <w:t>5</w:t>
      </w:r>
      <w:r>
        <w:rPr>
          <w:rFonts w:hint="eastAsia" w:ascii="仿宋_GB2312" w:eastAsia="仿宋_GB2312"/>
          <w:sz w:val="32"/>
          <w:szCs w:val="32"/>
        </w:rPr>
        <w:t>%，主要原因是：单位本年</w:t>
      </w:r>
      <w:r>
        <w:rPr>
          <w:rFonts w:hint="eastAsia" w:ascii="仿宋_GB2312" w:eastAsia="仿宋_GB2312"/>
          <w:sz w:val="32"/>
          <w:szCs w:val="32"/>
          <w:lang w:val="zh-CN"/>
        </w:rPr>
        <w:t>退休人数增加，职业年金费用增加。</w:t>
      </w:r>
    </w:p>
    <w:p w14:paraId="132A4321">
      <w:pPr>
        <w:ind w:firstLine="640" w:firstLineChars="200"/>
        <w:rPr>
          <w:rFonts w:ascii="仿宋_GB2312" w:eastAsia="仿宋_GB2312"/>
          <w:sz w:val="32"/>
          <w:szCs w:val="32"/>
          <w:lang w:val="zh-CN"/>
        </w:rPr>
      </w:pPr>
      <w:r>
        <w:rPr>
          <w:rFonts w:hint="eastAsia" w:ascii="仿宋_GB2312" w:eastAsia="仿宋_GB2312"/>
          <w:sz w:val="32"/>
          <w:szCs w:val="32"/>
        </w:rPr>
        <w:t>7.教育支出（类）教育费附加安排的支出（款）农村中小学教学设施（项）:支出决算数为0.00万元，比上年决算减少15.00万元，下降100%，主要原因是：单位本年农村中小学教学设施项目经费减少</w:t>
      </w:r>
      <w:r>
        <w:rPr>
          <w:rFonts w:hint="eastAsia" w:ascii="仿宋_GB2312" w:eastAsia="仿宋_GB2312"/>
          <w:sz w:val="32"/>
          <w:szCs w:val="32"/>
          <w:lang w:val="zh-CN"/>
        </w:rPr>
        <w:t>。</w:t>
      </w:r>
    </w:p>
    <w:p w14:paraId="575E15F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4F7C86EE">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3,128.55万元，其中：人员经费3,086.41万元，包括：基本工资、津贴补贴、奖金、机关事业单位基本养老保险缴费、职业年金缴费、职工基本医疗保险缴费、其他社会保障缴费、住房公积金、退休费、抚恤金、生活补助、奖励金、其他对个人和家庭的补助。</w:t>
      </w:r>
    </w:p>
    <w:p w14:paraId="77514421">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公用经费42.14万元，包括：办公费、电费、取暖费。</w:t>
      </w:r>
    </w:p>
    <w:p w14:paraId="03AFA6D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04A1565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3C78EF5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0683946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00E04607">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本单位固定资产车辆与公务用车保有量一致无差异</w:t>
      </w:r>
      <w:r>
        <w:rPr>
          <w:rFonts w:hint="eastAsia" w:ascii="仿宋_GB2312" w:eastAsia="仿宋_GB2312"/>
          <w:sz w:val="32"/>
          <w:szCs w:val="32"/>
          <w:lang w:val="zh-CN"/>
        </w:rPr>
        <w:t>。</w:t>
      </w:r>
    </w:p>
    <w:p w14:paraId="36EB268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7631D46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70AF0E32">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06C081CA">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223FCBF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480BBAB">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9AC490A">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417AEE22">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240E5E9A">
      <w:pPr>
        <w:ind w:firstLine="640" w:firstLineChars="200"/>
        <w:jc w:val="left"/>
        <w:rPr>
          <w:rFonts w:ascii="仿宋_GB2312" w:eastAsia="仿宋_GB2312"/>
          <w:sz w:val="32"/>
          <w:szCs w:val="32"/>
          <w:lang w:val="zh-CN"/>
        </w:rPr>
      </w:pPr>
      <w:bookmarkStart w:id="24" w:name="_Toc26704"/>
      <w:bookmarkStart w:id="25" w:name="_Toc227"/>
      <w:r>
        <w:rPr>
          <w:rFonts w:hint="eastAsia" w:ascii="仿宋_GB2312" w:eastAsia="仿宋_GB2312"/>
          <w:sz w:val="32"/>
          <w:szCs w:val="32"/>
          <w:lang w:val="zh-CN"/>
        </w:rPr>
        <w:t>2023年度</w:t>
      </w:r>
      <w:r>
        <w:rPr>
          <w:rFonts w:hint="eastAsia" w:ascii="仿宋_GB2312" w:eastAsia="仿宋_GB2312"/>
          <w:sz w:val="32"/>
          <w:szCs w:val="32"/>
        </w:rPr>
        <w:t>木垒哈萨克自治县大石头乡中心学校（事业单位）公用经费支出42.14万元，</w:t>
      </w:r>
      <w:r>
        <w:rPr>
          <w:rFonts w:hint="eastAsia" w:ascii="仿宋_GB2312" w:eastAsia="仿宋_GB2312"/>
          <w:sz w:val="32"/>
          <w:szCs w:val="32"/>
          <w:lang w:val="zh-CN"/>
        </w:rPr>
        <w:t>比上年增加14.93万元，增长54.87%，主要原因是：</w:t>
      </w:r>
      <w:r>
        <w:rPr>
          <w:rFonts w:hint="eastAsia" w:ascii="仿宋_GB2312" w:eastAsia="仿宋_GB2312"/>
          <w:sz w:val="32"/>
          <w:szCs w:val="32"/>
        </w:rPr>
        <w:t>单位</w:t>
      </w:r>
      <w:r>
        <w:rPr>
          <w:rFonts w:hint="eastAsia" w:ascii="仿宋_GB2312" w:eastAsia="仿宋_GB2312"/>
          <w:sz w:val="32"/>
          <w:szCs w:val="32"/>
          <w:lang w:val="zh-CN"/>
        </w:rPr>
        <w:t>本年办公费、电费、取暖费，</w:t>
      </w:r>
      <w:r>
        <w:rPr>
          <w:rFonts w:hint="eastAsia" w:ascii="仿宋_GB2312" w:eastAsia="仿宋_GB2312"/>
          <w:sz w:val="32"/>
          <w:szCs w:val="32"/>
        </w:rPr>
        <w:t>较上年</w:t>
      </w:r>
      <w:r>
        <w:rPr>
          <w:rFonts w:hint="eastAsia" w:ascii="仿宋_GB2312" w:eastAsia="仿宋_GB2312"/>
          <w:sz w:val="32"/>
          <w:szCs w:val="32"/>
          <w:lang w:val="zh-CN"/>
        </w:rPr>
        <w:t>增加。</w:t>
      </w:r>
    </w:p>
    <w:p w14:paraId="56500206">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566A965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2023年度政府采购支出总额0.00万元，其中：政府采购货物支出0.00万元、政府采购工程支出0.00万元、政府采购服务支出0.00万元。</w:t>
      </w:r>
    </w:p>
    <w:p w14:paraId="5216729A">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授予中小企业合同金额0.00万元，占政府采购支出总额的0.00</w:t>
      </w:r>
      <w:r>
        <w:rPr>
          <w:rFonts w:ascii="仿宋_GB2312" w:eastAsia="仿宋_GB2312"/>
          <w:sz w:val="32"/>
          <w:szCs w:val="32"/>
          <w:lang w:val="zh-CN"/>
        </w:rPr>
        <w:t>%</w:t>
      </w:r>
      <w:r>
        <w:rPr>
          <w:rFonts w:hint="eastAsia" w:ascii="仿宋_GB2312" w:eastAsia="仿宋_GB2312"/>
          <w:sz w:val="32"/>
          <w:szCs w:val="32"/>
          <w:lang w:val="zh-CN"/>
        </w:rPr>
        <w:t>，其中：授予小微企业合同金额0.00万元，占政府采购支出总额的0.00</w:t>
      </w:r>
      <w:r>
        <w:rPr>
          <w:rFonts w:ascii="仿宋_GB2312" w:eastAsia="仿宋_GB2312"/>
          <w:sz w:val="32"/>
          <w:szCs w:val="32"/>
          <w:lang w:val="zh-CN"/>
        </w:rPr>
        <w:t>%</w:t>
      </w:r>
      <w:r>
        <w:rPr>
          <w:rFonts w:hint="eastAsia" w:ascii="仿宋_GB2312" w:eastAsia="仿宋_GB2312"/>
          <w:sz w:val="32"/>
          <w:szCs w:val="32"/>
        </w:rPr>
        <w:t>。</w:t>
      </w:r>
    </w:p>
    <w:p w14:paraId="42376678">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6262F257">
      <w:pPr>
        <w:ind w:firstLine="640" w:firstLineChars="200"/>
        <w:jc w:val="left"/>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3,059.48</w:t>
      </w:r>
      <w:r>
        <w:rPr>
          <w:rFonts w:hint="eastAsia" w:ascii="仿宋_GB2312" w:eastAsia="仿宋_GB2312"/>
          <w:sz w:val="32"/>
          <w:szCs w:val="32"/>
        </w:rPr>
        <w:t>万元，房</w:t>
      </w:r>
      <w:r>
        <w:rPr>
          <w:rFonts w:hint="eastAsia" w:ascii="仿宋_GB2312" w:eastAsia="仿宋_GB2312"/>
          <w:sz w:val="32"/>
          <w:szCs w:val="32"/>
          <w:lang w:val="zh-CN"/>
        </w:rPr>
        <w:t>屋10</w:t>
      </w:r>
      <w:r>
        <w:rPr>
          <w:rFonts w:hint="eastAsia" w:ascii="仿宋_GB2312" w:eastAsia="仿宋_GB2312"/>
          <w:sz w:val="32"/>
          <w:szCs w:val="32"/>
        </w:rPr>
        <w:t>,</w:t>
      </w:r>
      <w:r>
        <w:rPr>
          <w:rFonts w:hint="eastAsia" w:ascii="仿宋_GB2312" w:eastAsia="仿宋_GB2312"/>
          <w:sz w:val="32"/>
          <w:szCs w:val="32"/>
          <w:lang w:val="zh-CN"/>
        </w:rPr>
        <w:t>943.6</w:t>
      </w:r>
      <w:r>
        <w:rPr>
          <w:rFonts w:hint="eastAsia" w:ascii="仿宋_GB2312" w:eastAsia="仿宋_GB2312"/>
          <w:sz w:val="32"/>
          <w:szCs w:val="32"/>
        </w:rPr>
        <w:t>0</w:t>
      </w:r>
      <w:r>
        <w:rPr>
          <w:rFonts w:hint="eastAsia" w:ascii="仿宋_GB2312" w:eastAsia="仿宋_GB2312"/>
          <w:sz w:val="32"/>
          <w:szCs w:val="32"/>
          <w:lang w:val="zh-CN"/>
        </w:rPr>
        <w:t>平方米，价值2,413.28万元。车辆0辆，价值0.00万元，其中：副部（省）级及以上领导用车0辆、主要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单位无其他用车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14:paraId="08F7F144">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2AEF6245">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3,359.73</w:t>
      </w:r>
      <w:r>
        <w:rPr>
          <w:rFonts w:hint="eastAsia" w:ascii="仿宋_GB2312" w:eastAsia="仿宋_GB2312"/>
          <w:sz w:val="32"/>
          <w:szCs w:val="32"/>
        </w:rPr>
        <w:t>万元，实际执行总额</w:t>
      </w:r>
      <w:r>
        <w:rPr>
          <w:rFonts w:ascii="仿宋_GB2312" w:eastAsia="仿宋_GB2312"/>
          <w:sz w:val="32"/>
          <w:szCs w:val="32"/>
        </w:rPr>
        <w:t>3,352.74</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我单位通过加强预算收支管理，不断建立健全内部管理制度，梳理内部管理流程，部门整体支出管理情况得到提升；二是在部门预算整体支出绩效方面都按规定严格执行，合理安排支出，使财政资金发挥出最大的效益。发现的问题及原因：一是绩效运行监控工作由于运行几年来，在绩效目标编制上依然有欠缺；二是绩效目标设立虽然有进步，由于自身原因设立不够准确。下一步改进措施：一是要提高认识，责任落实。要切实加强对整体绩效管理工作的思想认识，</w:t>
      </w:r>
      <w:r>
        <w:rPr>
          <w:rFonts w:hint="eastAsia" w:ascii="仿宋_GB2312" w:eastAsia="仿宋_GB2312"/>
          <w:sz w:val="32"/>
          <w:szCs w:val="32"/>
          <w:lang w:eastAsia="zh-CN"/>
        </w:rPr>
        <w:t>消除</w:t>
      </w:r>
      <w:r>
        <w:rPr>
          <w:rFonts w:hint="eastAsia" w:ascii="仿宋_GB2312" w:eastAsia="仿宋_GB2312"/>
          <w:sz w:val="32"/>
          <w:szCs w:val="32"/>
        </w:rPr>
        <w:t>抵触情绪、畏难情绪，克服压力、困难，推进绩效管理工作深入开展；二是明确部门分工。加强各部门之间合作，有效提高绩效监控管理工作人员的执行能力。具体项目自评情况附绩效自评表及自评报告。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1094"/>
        <w:gridCol w:w="950"/>
        <w:gridCol w:w="1267"/>
        <w:gridCol w:w="1283"/>
        <w:gridCol w:w="1217"/>
        <w:gridCol w:w="937"/>
        <w:gridCol w:w="884"/>
        <w:gridCol w:w="890"/>
      </w:tblGrid>
      <w:tr w14:paraId="70F90FBF">
        <w:tblPrEx>
          <w:tblCellMar>
            <w:top w:w="0" w:type="dxa"/>
            <w:left w:w="108" w:type="dxa"/>
            <w:bottom w:w="0" w:type="dxa"/>
            <w:right w:w="108" w:type="dxa"/>
          </w:tblCellMar>
        </w:tblPrEx>
        <w:trPr>
          <w:trHeight w:val="522"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9BD1F">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14:paraId="6A11CCE5">
        <w:tblPrEx>
          <w:tblCellMar>
            <w:top w:w="0" w:type="dxa"/>
            <w:left w:w="108" w:type="dxa"/>
            <w:bottom w:w="0" w:type="dxa"/>
            <w:right w:w="108" w:type="dxa"/>
          </w:tblCellMar>
        </w:tblPrEx>
        <w:trPr>
          <w:trHeight w:val="360"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E0927">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629E8CAF">
        <w:tblPrEx>
          <w:tblCellMar>
            <w:top w:w="0" w:type="dxa"/>
            <w:left w:w="108" w:type="dxa"/>
            <w:bottom w:w="0" w:type="dxa"/>
            <w:right w:w="108" w:type="dxa"/>
          </w:tblCellMar>
        </w:tblPrEx>
        <w:trPr>
          <w:trHeight w:val="660"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E621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7428"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580E5">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木垒哈萨克自治县大石头乡中心学校</w:t>
            </w:r>
          </w:p>
        </w:tc>
      </w:tr>
      <w:tr w14:paraId="37C21B31">
        <w:tblPrEx>
          <w:tblCellMar>
            <w:top w:w="0" w:type="dxa"/>
            <w:left w:w="108" w:type="dxa"/>
            <w:bottom w:w="0" w:type="dxa"/>
            <w:right w:w="108" w:type="dxa"/>
          </w:tblCellMar>
        </w:tblPrEx>
        <w:trPr>
          <w:trHeight w:val="570" w:hRule="atLeast"/>
          <w:jc w:val="center"/>
        </w:trPr>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87F7F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03870">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1F0A3">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96FCA">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2524D">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C3D79">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F1B3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3885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4F2DA0D2">
        <w:tblPrEx>
          <w:tblCellMar>
            <w:top w:w="0" w:type="dxa"/>
            <w:left w:w="108" w:type="dxa"/>
            <w:bottom w:w="0" w:type="dxa"/>
            <w:right w:w="108" w:type="dxa"/>
          </w:tblCellMar>
        </w:tblPrEx>
        <w:trPr>
          <w:trHeight w:val="88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9F960">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091CC">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602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59.74</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0FB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59.74</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F35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59.74</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282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2D3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70B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4951E6D6">
        <w:tblPrEx>
          <w:tblCellMar>
            <w:top w:w="0" w:type="dxa"/>
            <w:left w:w="108" w:type="dxa"/>
            <w:bottom w:w="0" w:type="dxa"/>
            <w:right w:w="108" w:type="dxa"/>
          </w:tblCellMar>
        </w:tblPrEx>
        <w:trPr>
          <w:trHeight w:val="88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7F84CA">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5ED75">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384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20.49</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140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20.49</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D3D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20.49</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DED43">
            <w:pPr>
              <w:widowControl/>
              <w:ind w:firstLine="400"/>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3E3EE">
            <w:pPr>
              <w:widowControl/>
              <w:ind w:firstLine="400"/>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BEAF8">
            <w:pPr>
              <w:widowControl/>
              <w:ind w:firstLine="400"/>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8E888F2">
        <w:tblPrEx>
          <w:tblCellMar>
            <w:top w:w="0" w:type="dxa"/>
            <w:left w:w="108" w:type="dxa"/>
            <w:bottom w:w="0" w:type="dxa"/>
            <w:right w:w="108" w:type="dxa"/>
          </w:tblCellMar>
        </w:tblPrEx>
        <w:trPr>
          <w:trHeight w:val="88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11892A">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7FFE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10D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12DAF">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28118">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F4C7B">
            <w:pPr>
              <w:widowControl/>
              <w:ind w:firstLine="400"/>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617ED">
            <w:pPr>
              <w:widowControl/>
              <w:ind w:firstLine="400"/>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0A1B6">
            <w:pPr>
              <w:widowControl/>
              <w:ind w:firstLine="400"/>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6DA3F589">
        <w:tblPrEx>
          <w:tblCellMar>
            <w:top w:w="0" w:type="dxa"/>
            <w:left w:w="108" w:type="dxa"/>
            <w:bottom w:w="0" w:type="dxa"/>
            <w:right w:w="108" w:type="dxa"/>
          </w:tblCellMar>
        </w:tblPrEx>
        <w:trPr>
          <w:trHeight w:val="88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AB736">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33981">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1EE1E">
            <w:pPr>
              <w:widowControl/>
              <w:jc w:val="center"/>
              <w:textAlignment w:val="center"/>
              <w:rPr>
                <w:rFonts w:hint="eastAsia" w:ascii="宋体" w:hAnsi="宋体" w:cs="宋体"/>
                <w:color w:val="000000"/>
                <w:kern w:val="0"/>
                <w:sz w:val="20"/>
                <w:szCs w:val="20"/>
                <w:lang w:bidi="ar"/>
              </w:rPr>
            </w:pPr>
            <w:r>
              <w:rPr>
                <w:rFonts w:ascii="宋体" w:hAnsi="宋体" w:cs="宋体"/>
                <w:color w:val="000000"/>
                <w:kern w:val="0"/>
                <w:sz w:val="20"/>
                <w:szCs w:val="20"/>
                <w:lang w:bidi="ar"/>
              </w:rPr>
              <w:t>3,039.04</w:t>
            </w:r>
          </w:p>
        </w:tc>
        <w:tc>
          <w:tcPr>
            <w:tcW w:w="1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8D017">
            <w:pPr>
              <w:jc w:val="center"/>
              <w:textAlignment w:val="center"/>
              <w:rPr>
                <w:rFonts w:hint="eastAsia" w:ascii="宋体" w:hAnsi="宋体" w:cs="宋体"/>
                <w:color w:val="000000"/>
                <w:kern w:val="0"/>
                <w:sz w:val="20"/>
                <w:szCs w:val="20"/>
                <w:lang w:bidi="ar"/>
              </w:rPr>
            </w:pPr>
            <w:r>
              <w:rPr>
                <w:rFonts w:ascii="宋体" w:hAnsi="宋体" w:cs="宋体"/>
                <w:color w:val="000000"/>
                <w:kern w:val="0"/>
                <w:sz w:val="20"/>
                <w:szCs w:val="20"/>
                <w:lang w:bidi="ar"/>
              </w:rPr>
              <w:t>3,046.03</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3B802">
            <w:pPr>
              <w:jc w:val="center"/>
              <w:textAlignment w:val="center"/>
              <w:rPr>
                <w:rFonts w:hint="eastAsia" w:ascii="宋体" w:hAnsi="宋体" w:cs="宋体"/>
                <w:color w:val="000000"/>
                <w:kern w:val="0"/>
                <w:sz w:val="20"/>
                <w:szCs w:val="20"/>
                <w:lang w:bidi="ar"/>
              </w:rPr>
            </w:pPr>
            <w:r>
              <w:rPr>
                <w:rFonts w:ascii="宋体" w:hAnsi="宋体" w:cs="宋体"/>
                <w:color w:val="000000"/>
                <w:kern w:val="0"/>
                <w:sz w:val="20"/>
                <w:szCs w:val="20"/>
                <w:lang w:bidi="ar"/>
              </w:rPr>
              <w:t>3,039.04</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6DA4D">
            <w:pPr>
              <w:ind w:firstLine="400"/>
              <w:rPr>
                <w:rFonts w:hint="eastAsia" w:ascii="宋体" w:hAnsi="宋体" w:cs="宋体"/>
                <w:color w:val="000000"/>
                <w:sz w:val="20"/>
                <w:szCs w:val="20"/>
              </w:rPr>
            </w:pPr>
            <w:r>
              <w:rPr>
                <w:rFonts w:hint="eastAsia"/>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1A7EF">
            <w:pPr>
              <w:ind w:firstLine="400"/>
              <w:rPr>
                <w:rFonts w:hint="eastAsia" w:ascii="宋体" w:hAnsi="宋体" w:cs="宋体"/>
                <w:color w:val="000000"/>
                <w:sz w:val="20"/>
                <w:szCs w:val="20"/>
              </w:rPr>
            </w:pPr>
            <w:r>
              <w:rPr>
                <w:rFonts w:hint="eastAsia"/>
              </w:rPr>
              <w:t>-</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462EE">
            <w:pPr>
              <w:ind w:firstLine="400"/>
              <w:rPr>
                <w:rFonts w:hint="eastAsia" w:ascii="宋体" w:hAnsi="宋体" w:cs="宋体"/>
                <w:color w:val="000000"/>
                <w:sz w:val="20"/>
                <w:szCs w:val="20"/>
              </w:rPr>
            </w:pPr>
            <w:r>
              <w:rPr>
                <w:rFonts w:hint="eastAsia"/>
              </w:rPr>
              <w:t>-</w:t>
            </w:r>
          </w:p>
        </w:tc>
      </w:tr>
      <w:tr w14:paraId="385AAF7F">
        <w:tblPrEx>
          <w:tblCellMar>
            <w:top w:w="0" w:type="dxa"/>
            <w:left w:w="108" w:type="dxa"/>
            <w:bottom w:w="0" w:type="dxa"/>
            <w:right w:w="108" w:type="dxa"/>
          </w:tblCellMar>
        </w:tblPrEx>
        <w:trPr>
          <w:trHeight w:val="88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F87FF">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12BF5">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04C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531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233.47</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D01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233.47</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2E87A">
            <w:pPr>
              <w:ind w:firstLine="400"/>
              <w:rPr>
                <w:rFonts w:hint="eastAsia" w:ascii="宋体" w:hAnsi="宋体" w:cs="宋体"/>
                <w:color w:val="000000"/>
                <w:sz w:val="20"/>
                <w:szCs w:val="20"/>
              </w:rPr>
            </w:pPr>
            <w:r>
              <w:rPr>
                <w:rFonts w:hint="eastAsia"/>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D7C5F">
            <w:pPr>
              <w:ind w:firstLine="400"/>
              <w:rPr>
                <w:rFonts w:hint="eastAsia" w:ascii="宋体" w:hAnsi="宋体" w:cs="宋体"/>
                <w:color w:val="000000"/>
                <w:sz w:val="20"/>
                <w:szCs w:val="20"/>
              </w:rPr>
            </w:pPr>
            <w:r>
              <w:rPr>
                <w:rFonts w:hint="eastAsia"/>
              </w:rPr>
              <w:t>-</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8F923">
            <w:pPr>
              <w:ind w:firstLine="400"/>
              <w:rPr>
                <w:rFonts w:hint="eastAsia" w:ascii="宋体" w:hAnsi="宋体" w:cs="宋体"/>
                <w:color w:val="000000"/>
                <w:sz w:val="20"/>
                <w:szCs w:val="20"/>
              </w:rPr>
            </w:pPr>
            <w:r>
              <w:rPr>
                <w:rFonts w:hint="eastAsia"/>
              </w:rPr>
              <w:t>-</w:t>
            </w:r>
          </w:p>
        </w:tc>
      </w:tr>
      <w:tr w14:paraId="1052D948">
        <w:tblPrEx>
          <w:tblCellMar>
            <w:top w:w="0" w:type="dxa"/>
            <w:left w:w="108" w:type="dxa"/>
            <w:bottom w:w="0" w:type="dxa"/>
            <w:right w:w="108" w:type="dxa"/>
          </w:tblCellMar>
        </w:tblPrEx>
        <w:trPr>
          <w:trHeight w:val="88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B77AD">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AE7D5">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CDB3A">
            <w:pPr>
              <w:widowControl/>
              <w:jc w:val="center"/>
              <w:textAlignment w:val="center"/>
              <w:rPr>
                <w:rFonts w:hint="eastAsia" w:ascii="宋体" w:hAnsi="宋体" w:cs="宋体"/>
                <w:color w:val="000000"/>
                <w:kern w:val="0"/>
                <w:sz w:val="20"/>
                <w:szCs w:val="20"/>
                <w:lang w:bidi="ar"/>
              </w:rPr>
            </w:pPr>
            <w:r>
              <w:rPr>
                <w:rFonts w:ascii="宋体" w:hAnsi="宋体" w:cs="宋体"/>
                <w:color w:val="000000"/>
                <w:kern w:val="0"/>
                <w:sz w:val="20"/>
                <w:szCs w:val="20"/>
                <w:lang w:bidi="ar"/>
              </w:rPr>
              <w:t>3,119.27</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31BDC">
            <w:pPr>
              <w:widowControl/>
              <w:jc w:val="center"/>
              <w:textAlignment w:val="center"/>
              <w:rPr>
                <w:rFonts w:hint="eastAsia" w:ascii="宋体" w:hAnsi="宋体" w:cs="宋体"/>
                <w:color w:val="000000"/>
                <w:kern w:val="0"/>
                <w:sz w:val="20"/>
                <w:szCs w:val="20"/>
                <w:lang w:bidi="ar"/>
              </w:rPr>
            </w:pPr>
            <w:r>
              <w:rPr>
                <w:rFonts w:ascii="宋体" w:hAnsi="宋体" w:cs="宋体"/>
                <w:color w:val="000000"/>
                <w:kern w:val="0"/>
                <w:sz w:val="20"/>
                <w:szCs w:val="20"/>
                <w:lang w:bidi="ar"/>
              </w:rPr>
              <w:t>3,359.73</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08DF4">
            <w:pPr>
              <w:widowControl/>
              <w:jc w:val="center"/>
              <w:textAlignment w:val="center"/>
              <w:rPr>
                <w:rFonts w:hint="eastAsia" w:ascii="宋体" w:hAnsi="宋体" w:cs="宋体"/>
                <w:color w:val="000000"/>
                <w:kern w:val="0"/>
                <w:sz w:val="20"/>
                <w:szCs w:val="20"/>
                <w:lang w:bidi="ar"/>
              </w:rPr>
            </w:pPr>
            <w:r>
              <w:rPr>
                <w:rFonts w:ascii="宋体" w:hAnsi="宋体" w:cs="宋体"/>
                <w:color w:val="000000"/>
                <w:kern w:val="0"/>
                <w:sz w:val="20"/>
                <w:szCs w:val="20"/>
                <w:lang w:bidi="ar"/>
              </w:rPr>
              <w:t>3,352.74</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2AAF9">
            <w:pPr>
              <w:widowControl/>
              <w:ind w:firstLine="400"/>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5EA6C">
            <w:pPr>
              <w:widowControl/>
              <w:ind w:firstLine="400"/>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F1483">
            <w:pPr>
              <w:widowControl/>
              <w:ind w:firstLine="400"/>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226A17CF">
        <w:tblPrEx>
          <w:tblCellMar>
            <w:top w:w="0" w:type="dxa"/>
            <w:left w:w="108" w:type="dxa"/>
            <w:bottom w:w="0" w:type="dxa"/>
            <w:right w:w="108" w:type="dxa"/>
          </w:tblCellMar>
        </w:tblPrEx>
        <w:trPr>
          <w:trHeight w:val="705" w:hRule="atLeast"/>
          <w:jc w:val="center"/>
        </w:trPr>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66640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3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7C485">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9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AFEB4">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3809A8EE">
        <w:tblPrEx>
          <w:tblCellMar>
            <w:top w:w="0" w:type="dxa"/>
            <w:left w:w="108" w:type="dxa"/>
            <w:bottom w:w="0" w:type="dxa"/>
            <w:right w:w="108" w:type="dxa"/>
          </w:tblCellMar>
        </w:tblPrEx>
        <w:trPr>
          <w:trHeight w:val="200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02090">
            <w:pPr>
              <w:ind w:firstLine="400"/>
              <w:jc w:val="center"/>
              <w:rPr>
                <w:rFonts w:hint="eastAsia" w:ascii="宋体" w:hAnsi="宋体" w:cs="宋体"/>
                <w:color w:val="000000"/>
                <w:sz w:val="20"/>
                <w:szCs w:val="20"/>
              </w:rPr>
            </w:pPr>
          </w:p>
        </w:tc>
        <w:tc>
          <w:tcPr>
            <w:tcW w:w="35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8E0F4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目标1：宣传贯彻执行党和国家的教育方针、政策、法律法规等坚持依法执教、依法治学，贯彻执行县教育局的行政规章制度；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目标2：组织开展本校的教育科学科研和教育教学改革，全力推进素质教育实施；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目标3：按照义务教育课程计划，开齐课程，开足课时，认真实施小学的教育教学管理，全面推进素质教育，全面提高教育教学质量；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目标4：负责本校财务管理，筹措资金，改善办学条件等工作。</w:t>
            </w:r>
          </w:p>
        </w:tc>
        <w:tc>
          <w:tcPr>
            <w:tcW w:w="39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6ECDDE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截至2023年12月31日，本单位已完成保障办公人员数量166人，资助学生人数大于等于264人，开展教师培训数量大于等于95次，控辍保学率小于等于0%，助学金发放及时率100%，各类培训及学习次数大于等于35次，各类考试完成及时率100%，师生满意度大于等于95%。</w:t>
            </w:r>
          </w:p>
        </w:tc>
      </w:tr>
      <w:tr w14:paraId="5CC37B97">
        <w:tblPrEx>
          <w:tblCellMar>
            <w:top w:w="0" w:type="dxa"/>
            <w:left w:w="108" w:type="dxa"/>
            <w:bottom w:w="0" w:type="dxa"/>
            <w:right w:w="108" w:type="dxa"/>
          </w:tblCellMar>
        </w:tblPrEx>
        <w:trPr>
          <w:trHeight w:val="580"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28D4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295F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FEEE8">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D33BE">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6C46F">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AA9F1">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677AB">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98AED">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510DF94A">
        <w:tblPrEx>
          <w:tblCellMar>
            <w:top w:w="0" w:type="dxa"/>
            <w:left w:w="108" w:type="dxa"/>
            <w:bottom w:w="0" w:type="dxa"/>
            <w:right w:w="108" w:type="dxa"/>
          </w:tblCellMar>
        </w:tblPrEx>
        <w:trPr>
          <w:trHeight w:val="740"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9335C">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9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E432A8">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80F8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8863B">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＞=166人</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27D9E">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木垒哈萨克自治县大石头乡中心学校机构改革方案</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9FDB9">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78E8E">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166人</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4AA1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14:paraId="69831A73">
        <w:tblPrEx>
          <w:tblCellMar>
            <w:top w:w="0" w:type="dxa"/>
            <w:left w:w="108" w:type="dxa"/>
            <w:bottom w:w="0" w:type="dxa"/>
            <w:right w:w="108" w:type="dxa"/>
          </w:tblCellMar>
        </w:tblPrEx>
        <w:trPr>
          <w:trHeight w:val="740" w:hRule="atLeast"/>
          <w:jc w:val="center"/>
        </w:trPr>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2169EC">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934A3">
            <w:pPr>
              <w:ind w:firstLine="400"/>
              <w:jc w:val="center"/>
              <w:rPr>
                <w:rFonts w:hint="eastAsia" w:ascii="宋体" w:hAnsi="宋体" w:cs="宋体"/>
                <w:color w:val="00000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52A01">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资助学生人数</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94B91">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&gt;=264人</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4E66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7A00A">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34FF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264人</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F704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14:paraId="7BED5312">
        <w:tblPrEx>
          <w:tblCellMar>
            <w:top w:w="0" w:type="dxa"/>
            <w:left w:w="108" w:type="dxa"/>
            <w:bottom w:w="0" w:type="dxa"/>
            <w:right w:w="108" w:type="dxa"/>
          </w:tblCellMar>
        </w:tblPrEx>
        <w:trPr>
          <w:trHeight w:val="74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A92A1">
            <w:pPr>
              <w:ind w:firstLine="400"/>
              <w:jc w:val="center"/>
              <w:rPr>
                <w:rFonts w:hint="eastAsia" w:ascii="宋体" w:hAnsi="宋体" w:cs="宋体"/>
                <w:color w:val="000000"/>
                <w:sz w:val="20"/>
                <w:szCs w:val="20"/>
              </w:rPr>
            </w:pP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F8170E">
            <w:pPr>
              <w:ind w:firstLine="400"/>
              <w:jc w:val="center"/>
              <w:rPr>
                <w:rFonts w:hint="eastAsia" w:ascii="宋体" w:hAnsi="宋体" w:cs="宋体"/>
                <w:color w:val="00000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97BDB">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开展教师培训数量</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15F7F">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&gt;=12次</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943EF">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FF58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AFD62">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12次</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75B11">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221EFAF4">
        <w:tblPrEx>
          <w:tblCellMar>
            <w:top w:w="0" w:type="dxa"/>
            <w:left w:w="108" w:type="dxa"/>
            <w:bottom w:w="0" w:type="dxa"/>
            <w:right w:w="108" w:type="dxa"/>
          </w:tblCellMar>
        </w:tblPrEx>
        <w:trPr>
          <w:trHeight w:val="74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8C6B5">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C009F">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098B3">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各类考试完成及时率</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EC2B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0254A">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38709">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0478C">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5B9A0">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764D435C">
        <w:tblPrEx>
          <w:tblCellMar>
            <w:top w:w="0" w:type="dxa"/>
            <w:left w:w="108" w:type="dxa"/>
            <w:bottom w:w="0" w:type="dxa"/>
            <w:right w:w="108" w:type="dxa"/>
          </w:tblCellMar>
        </w:tblPrEx>
        <w:trPr>
          <w:trHeight w:val="74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E3597">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A9840">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FCA82">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控辍保学率</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8AF6C">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&lt;=0%</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EA60A">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4A560">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9223F">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3CAF0">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r>
      <w:tr w14:paraId="56D586CF">
        <w:tblPrEx>
          <w:tblCellMar>
            <w:top w:w="0" w:type="dxa"/>
            <w:left w:w="108" w:type="dxa"/>
            <w:bottom w:w="0" w:type="dxa"/>
            <w:right w:w="108" w:type="dxa"/>
          </w:tblCellMar>
        </w:tblPrEx>
        <w:trPr>
          <w:trHeight w:val="74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E0906">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CF489">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DFEF1">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助学金发放及时率</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A2EDA">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4501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15599">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DC73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073C1">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03CA6035">
        <w:tblPrEx>
          <w:tblCellMar>
            <w:top w:w="0" w:type="dxa"/>
            <w:left w:w="108" w:type="dxa"/>
            <w:bottom w:w="0" w:type="dxa"/>
            <w:right w:w="108" w:type="dxa"/>
          </w:tblCellMar>
        </w:tblPrEx>
        <w:trPr>
          <w:trHeight w:val="740" w:hRule="atLeast"/>
          <w:jc w:val="center"/>
        </w:trPr>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A188EA">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E716B">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1EBBD">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各类培训及学习次数</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D91A5">
            <w:pPr>
              <w:widowControl/>
              <w:textAlignment w:val="center"/>
              <w:rPr>
                <w:rFonts w:hint="eastAsia" w:ascii="宋体" w:hAnsi="宋体" w:cs="宋体"/>
                <w:color w:val="000000"/>
                <w:sz w:val="20"/>
                <w:szCs w:val="20"/>
              </w:rPr>
            </w:pPr>
            <w:bookmarkStart w:id="48" w:name="_GoBack"/>
            <w:r>
              <w:rPr>
                <w:rFonts w:hint="eastAsia" w:ascii="宋体" w:hAnsi="宋体" w:cs="宋体"/>
                <w:color w:val="000000"/>
                <w:kern w:val="0"/>
                <w:sz w:val="20"/>
                <w:szCs w:val="20"/>
                <w:lang w:bidi="ar"/>
              </w:rPr>
              <w:t>&gt;</w:t>
            </w:r>
            <w:bookmarkEnd w:id="48"/>
            <w:r>
              <w:rPr>
                <w:rFonts w:hint="eastAsia" w:ascii="宋体" w:hAnsi="宋体" w:cs="宋体"/>
                <w:color w:val="000000"/>
                <w:kern w:val="0"/>
                <w:sz w:val="20"/>
                <w:szCs w:val="20"/>
                <w:lang w:bidi="ar"/>
              </w:rPr>
              <w:t>=35次</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934A5">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55F4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50F9E">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35次</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4FEA8">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1E11CB4E">
        <w:tblPrEx>
          <w:tblCellMar>
            <w:top w:w="0" w:type="dxa"/>
            <w:left w:w="108" w:type="dxa"/>
            <w:bottom w:w="0" w:type="dxa"/>
            <w:right w:w="108" w:type="dxa"/>
          </w:tblCellMar>
        </w:tblPrEx>
        <w:trPr>
          <w:trHeight w:val="74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97765">
            <w:pPr>
              <w:ind w:firstLine="400"/>
              <w:jc w:val="center"/>
              <w:rPr>
                <w:rFonts w:hint="eastAsia" w:ascii="宋体" w:hAnsi="宋体" w:cs="宋体"/>
                <w:color w:val="000000"/>
                <w:sz w:val="20"/>
                <w:szCs w:val="20"/>
              </w:rPr>
            </w:pPr>
          </w:p>
        </w:tc>
        <w:tc>
          <w:tcPr>
            <w:tcW w:w="9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C622A1">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B322A">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教师培训合格率</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0272A">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&gt;=95次</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B3FAE">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6C110">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96E43">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95次</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7C5F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40028AD7">
        <w:tblPrEx>
          <w:tblCellMar>
            <w:top w:w="0" w:type="dxa"/>
            <w:left w:w="108" w:type="dxa"/>
            <w:bottom w:w="0" w:type="dxa"/>
            <w:right w:w="108" w:type="dxa"/>
          </w:tblCellMar>
        </w:tblPrEx>
        <w:trPr>
          <w:trHeight w:val="740"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39BAD">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7EFEC">
            <w:pPr>
              <w:ind w:firstLine="400"/>
              <w:jc w:val="center"/>
              <w:rPr>
                <w:rFonts w:hint="eastAsia" w:ascii="宋体" w:hAnsi="宋体" w:cs="宋体"/>
                <w:color w:val="00000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C13C9">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师生满意度</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00B2C">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941EC">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2B148">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7F9FE">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E28DD">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bl>
    <w:p w14:paraId="3C952ACE">
      <w:pPr>
        <w:ind w:firstLine="640" w:firstLineChars="200"/>
        <w:jc w:val="left"/>
        <w:rPr>
          <w:rFonts w:hint="eastAsia" w:ascii="黑体" w:hAnsi="黑体" w:eastAsia="黑体" w:cs="宋体"/>
          <w:bCs/>
          <w:kern w:val="0"/>
          <w:sz w:val="32"/>
          <w:szCs w:val="32"/>
        </w:rPr>
      </w:pPr>
    </w:p>
    <w:p w14:paraId="4197EC5D">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C538938">
      <w:pPr>
        <w:ind w:firstLine="640" w:firstLineChars="200"/>
        <w:jc w:val="left"/>
        <w:outlineLvl w:val="0"/>
        <w:rPr>
          <w:rFonts w:hint="eastAsia" w:ascii="仿宋_GB2312" w:hAnsi="仿宋_GB2312" w:eastAsia="仿宋_GB2312" w:cs="仿宋_GB2312"/>
          <w:kern w:val="0"/>
          <w:sz w:val="32"/>
          <w:szCs w:val="32"/>
        </w:rPr>
      </w:pPr>
      <w:bookmarkStart w:id="30" w:name="_Toc3250"/>
      <w:bookmarkStart w:id="31" w:name="_Toc24143"/>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27055882">
      <w:pPr>
        <w:rPr>
          <w:rFonts w:hint="eastAsia" w:ascii="黑体" w:hAnsi="黑体" w:eastAsia="黑体"/>
          <w:sz w:val="32"/>
          <w:szCs w:val="32"/>
        </w:rPr>
      </w:pPr>
      <w:r>
        <w:rPr>
          <w:rFonts w:hint="eastAsia" w:ascii="黑体" w:hAnsi="黑体" w:eastAsia="黑体"/>
          <w:sz w:val="32"/>
          <w:szCs w:val="32"/>
        </w:rPr>
        <w:br w:type="page"/>
      </w:r>
    </w:p>
    <w:p w14:paraId="2BC41697">
      <w:pPr>
        <w:ind w:firstLine="640" w:firstLineChars="200"/>
        <w:jc w:val="center"/>
        <w:outlineLvl w:val="0"/>
        <w:rPr>
          <w:rFonts w:hint="eastAsia" w:ascii="黑体" w:hAnsi="黑体" w:eastAsia="黑体"/>
          <w:sz w:val="32"/>
          <w:szCs w:val="32"/>
        </w:rPr>
      </w:pPr>
      <w:r>
        <w:rPr>
          <w:rFonts w:hint="eastAsia" w:ascii="黑体" w:hAnsi="黑体" w:eastAsia="黑体"/>
          <w:sz w:val="32"/>
          <w:szCs w:val="32"/>
        </w:rPr>
        <w:t>第三部分 专业名词解释</w:t>
      </w:r>
      <w:bookmarkEnd w:id="30"/>
      <w:bookmarkEnd w:id="31"/>
    </w:p>
    <w:p w14:paraId="1CA3726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4568A13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59FCFBD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955560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9D2CB0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6C375A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738564A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F73447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416755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4CA0DBA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2178D5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C95AC6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504B46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08AA9EA">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2A55A90">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C901702">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1ECF999F">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1D451FD6">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7FE31B9F">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46A79C85">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272C7A9A">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70682914">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66FCDAE0">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0D65B1E6">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16674F6">
      <w:pPr>
        <w:ind w:firstLine="640" w:firstLineChars="200"/>
        <w:rPr>
          <w:rFonts w:ascii="仿宋_GB2312" w:eastAsia="仿宋_GB2312"/>
          <w:sz w:val="32"/>
          <w:szCs w:val="32"/>
        </w:rPr>
      </w:pPr>
    </w:p>
    <w:p w14:paraId="22A1C1E2">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83AC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D5E51A">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5AD5E51A">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ED38BA"/>
    <w:rsid w:val="00021A99"/>
    <w:rsid w:val="00213C59"/>
    <w:rsid w:val="002F0EB4"/>
    <w:rsid w:val="00304A4C"/>
    <w:rsid w:val="003210CE"/>
    <w:rsid w:val="003E3043"/>
    <w:rsid w:val="00437006"/>
    <w:rsid w:val="004E72C6"/>
    <w:rsid w:val="005D7319"/>
    <w:rsid w:val="006019F0"/>
    <w:rsid w:val="0065068E"/>
    <w:rsid w:val="00790A8C"/>
    <w:rsid w:val="00A4206A"/>
    <w:rsid w:val="00A543F2"/>
    <w:rsid w:val="00B37A2A"/>
    <w:rsid w:val="00B70D59"/>
    <w:rsid w:val="00D05A7D"/>
    <w:rsid w:val="00ED38BA"/>
    <w:rsid w:val="00EF188A"/>
    <w:rsid w:val="00F52A8D"/>
    <w:rsid w:val="00F82EAF"/>
    <w:rsid w:val="00F8578B"/>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6FE7C35"/>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0A4CBF"/>
    <w:rsid w:val="1C290ED5"/>
    <w:rsid w:val="1C317E4F"/>
    <w:rsid w:val="1C472464"/>
    <w:rsid w:val="1D22799A"/>
    <w:rsid w:val="1D5C1A72"/>
    <w:rsid w:val="1DAF458D"/>
    <w:rsid w:val="1E086ACE"/>
    <w:rsid w:val="1E62130A"/>
    <w:rsid w:val="1E97358B"/>
    <w:rsid w:val="1EAA4A5F"/>
    <w:rsid w:val="1EB96528"/>
    <w:rsid w:val="1EE869A7"/>
    <w:rsid w:val="1F9D5C11"/>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4FB2593"/>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3F3C20"/>
    <w:rsid w:val="405470BD"/>
    <w:rsid w:val="40794A29"/>
    <w:rsid w:val="40834692"/>
    <w:rsid w:val="41431AD5"/>
    <w:rsid w:val="414757DF"/>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B2251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1B7C63"/>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BB3401"/>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autoRedefine/>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6157</Words>
  <Characters>7007</Characters>
  <Lines>58</Lines>
  <Paragraphs>16</Paragraphs>
  <TotalTime>4</TotalTime>
  <ScaleCrop>false</ScaleCrop>
  <LinksUpToDate>false</LinksUpToDate>
  <CharactersWithSpaces>7021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2024-12-02T08:58:13Z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D624B15633CD43C8BF9435464A96BF70</vt:lpwstr>
  </property>
</Properties>
</file>